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ind w:firstLine="643" w:firstLineChars="200"/>
        <w:jc w:val="both"/>
        <w:rPr>
          <w:rFonts w:hint="eastAsia" w:ascii="楷体_GB2312" w:hAnsi="Times New Roman" w:eastAsia="楷体_GB2312"/>
          <w:b/>
          <w:color w:val="000000"/>
          <w:sz w:val="32"/>
          <w:szCs w:val="32"/>
        </w:rPr>
      </w:pPr>
      <w:r>
        <w:rPr>
          <w:rFonts w:hint="eastAsia" w:ascii="楷体_GB2312" w:hAnsi="Times New Roman" w:eastAsia="楷体_GB2312"/>
          <w:b/>
          <w:color w:val="000000"/>
          <w:sz w:val="32"/>
          <w:szCs w:val="32"/>
        </w:rPr>
        <w:t>（三十</w:t>
      </w:r>
      <w:r>
        <w:rPr>
          <w:rFonts w:hint="eastAsia" w:ascii="楷体_GB2312" w:hAnsi="Times New Roman" w:eastAsia="楷体_GB2312"/>
          <w:b/>
          <w:color w:val="000000"/>
          <w:sz w:val="32"/>
          <w:szCs w:val="32"/>
          <w:lang w:eastAsia="zh-CN"/>
        </w:rPr>
        <w:t>二</w:t>
      </w:r>
      <w:r>
        <w:rPr>
          <w:rFonts w:hint="eastAsia" w:ascii="楷体_GB2312" w:hAnsi="Times New Roman" w:eastAsia="楷体_GB2312"/>
          <w:b/>
          <w:color w:val="000000"/>
          <w:sz w:val="32"/>
          <w:szCs w:val="32"/>
        </w:rPr>
        <w:t>）诸暨市高层次人才分类目录</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sz w:val="32"/>
          <w:szCs w:val="32"/>
        </w:rPr>
      </w:pPr>
      <w:r>
        <w:rPr>
          <w:rFonts w:hint="eastAsia" w:ascii="仿宋_GB2312" w:hAnsi="黑体" w:eastAsia="仿宋_GB2312"/>
          <w:b/>
          <w:color w:val="000000"/>
          <w:kern w:val="2"/>
          <w:sz w:val="32"/>
          <w:szCs w:val="32"/>
        </w:rPr>
        <w:t>1．顶尖人才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诺贝尔奖、图灵奖、菲尔兹奖等国际大奖的获得者；国家最高科学技术奖获得者；中国科学院院士、中国工程院院士；相当于中国“两院”院士的美国、英国、法国、德国等国家院士及外籍院士；</w:t>
      </w:r>
      <w:bookmarkStart w:id="0" w:name="_GoBack"/>
      <w:bookmarkEnd w:id="0"/>
      <w:r>
        <w:rPr>
          <w:rFonts w:hint="eastAsia" w:ascii="仿宋_GB2312" w:hAnsi="Times New Roman" w:eastAsia="仿宋_GB2312"/>
          <w:color w:val="000000"/>
          <w:sz w:val="32"/>
          <w:szCs w:val="32"/>
        </w:rPr>
        <w:t>中国社会科学院学部委员、荣誉学部委员；国家“万人计划”杰出人才人选；相当于上述层次的顶尖人才。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2．国家级领军人才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国家“千人计划”人才；国家“万人计划”中除杰出人才之外的人选；国家有突出贡献的中青年专家；百千万人才工程国家级人选；中科院“百人计划”A类人才；何梁何利科技奖获得者；“长江学者奖励计划”教授；国家杰出青年基金项目完成人；国家科学技术一等奖获得者（前三位完成人）；全国宣传文化“四个一批”人才；中国工艺美术大师；省科学技术重大贡献奖获得者；省特级专家；省领军型创新创业团队带头人；省“万人计划”杰出人才人选；相当于上述层次的领军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3．省级领军人才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省“千人计划”人才；省有突出贡献的中青年专家；中科院“百人计划”B类人才；通过综合考评的省“151”人才工程重点资助和第一层次培养人选；省级重点创新团队带头人；国务院特殊津贴专家；省“钱江学者”特聘教授；国家科学技术二等奖、省科学技术奖一等奖获得者（前三位完成人）；省“万人计划”中除杰出人才之外的人选；绍兴市高级专家；绍兴“海内外英才计划”A类人才；相当于上述层次的领军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4．绍兴市级领军人才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绍兴“海内外英才计划”B类、C类人才；通过综合考评的省“151”人才工程第二层次培养人选；省级“海外工程师”；省“钱江技能大奖”获得者及以上层次高技能人才；相当于上述层次的领军人才。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5．绍兴市级高级人才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省“首席技师”、省级技术能手和绍兴市突出贡献高技能人才；绍兴市专业技术拔尖人才；绍兴市级重点创新团队带头人；绍兴市青年科技奖获得者；具有正高级专业技术职务任职资格的人才；具有全日制博士学历学位的专业技术人才；具有副高级专业技术职务任职资格并作为项目负责人承担省级课题或获得绍兴市科学技术奖二等奖及以上（前三位完成人）的人才；暨阳“533英才计划”专家；相当于上述层次的高级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6．诸暨市级高级人才</w:t>
      </w:r>
    </w:p>
    <w:p>
      <w:pPr>
        <w:pStyle w:val="2"/>
        <w:widowControl w:val="0"/>
        <w:spacing w:before="0" w:beforeAutospacing="0" w:after="0" w:afterAutospacing="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具有副高级专业技术职务任职资格的人才；全日制硕士学历学位人员；具有高级技师职业资格的高技能人才；诸暨市专业技术拔尖人才；上年度实际纳税500万元以上企业引进年薪30万元以上的职业经理；相当于上述层次的高级人才。</w:t>
      </w:r>
    </w:p>
    <w:p>
      <w:pPr>
        <w:pStyle w:val="2"/>
        <w:widowControl w:val="0"/>
        <w:tabs>
          <w:tab w:val="left" w:pos="578"/>
        </w:tabs>
        <w:spacing w:before="0" w:beforeAutospacing="0" w:after="0" w:afterAutospacing="0" w:line="560" w:lineRule="exact"/>
        <w:ind w:firstLine="643" w:firstLineChars="200"/>
        <w:jc w:val="both"/>
        <w:rPr>
          <w:rFonts w:hint="eastAsia" w:ascii="仿宋_GB2312" w:hAnsi="黑体" w:eastAsia="仿宋_GB2312"/>
          <w:b/>
          <w:color w:val="000000"/>
          <w:kern w:val="2"/>
          <w:sz w:val="32"/>
          <w:szCs w:val="32"/>
        </w:rPr>
      </w:pPr>
      <w:r>
        <w:rPr>
          <w:rFonts w:hint="eastAsia" w:ascii="仿宋_GB2312" w:hAnsi="黑体" w:eastAsia="仿宋_GB2312"/>
          <w:b/>
          <w:color w:val="000000"/>
          <w:kern w:val="2"/>
          <w:sz w:val="32"/>
          <w:szCs w:val="32"/>
        </w:rPr>
        <w:t>7．诸暨市级紧缺人才</w:t>
      </w:r>
    </w:p>
    <w:p>
      <w:pPr>
        <w:widowControl w:val="0"/>
        <w:tabs>
          <w:tab w:val="left" w:pos="5056"/>
        </w:tabs>
        <w:spacing w:after="0" w:line="560" w:lineRule="exact"/>
        <w:ind w:firstLine="640" w:firstLineChars="200"/>
        <w:jc w:val="both"/>
        <w:rPr>
          <w:rFonts w:hint="eastAsia" w:ascii="仿宋_GB2312" w:hAnsi="宋体" w:eastAsia="仿宋_GB2312" w:cs="宋体"/>
          <w:color w:val="000000"/>
          <w:sz w:val="32"/>
          <w:szCs w:val="32"/>
        </w:rPr>
      </w:pPr>
      <w:r>
        <w:rPr>
          <w:rFonts w:hint="eastAsia" w:ascii="仿宋_GB2312" w:eastAsia="仿宋_GB2312"/>
          <w:color w:val="000000"/>
          <w:sz w:val="32"/>
          <w:szCs w:val="32"/>
        </w:rPr>
        <w:t>诸暨市优秀专业技术人才；“双一流”建设高校及建设学科全日制本科毕业生；袜业、珍珠、金属材料等行业紧缺人才；相当于上述层次的紧缺人才。</w:t>
      </w:r>
    </w:p>
    <w:p>
      <w:pPr/>
    </w:p>
    <w:sectPr>
      <w:pgSz w:w="11906" w:h="16838"/>
      <w:pgMar w:top="147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01E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adjustRightInd/>
      <w:snapToGrid/>
      <w:spacing w:before="100" w:beforeAutospacing="1" w:after="100" w:afterAutospacing="1"/>
    </w:pPr>
    <w:rPr>
      <w:rFonts w:ascii="宋体" w:hAnsi="宋体" w:eastAsia="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2019-01-15T03:32:04Z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