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1：</w:t>
      </w:r>
    </w:p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auto"/>
          <w:sz w:val="44"/>
          <w:szCs w:val="44"/>
        </w:rPr>
        <w:t>2022年诸暨市国有资产经营有限公司下属子公司招聘计划表</w:t>
      </w:r>
    </w:p>
    <w:bookmarkEnd w:id="0"/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</w:p>
    <w:tbl>
      <w:tblPr>
        <w:tblStyle w:val="2"/>
        <w:tblW w:w="15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77"/>
        <w:gridCol w:w="1984"/>
        <w:gridCol w:w="709"/>
        <w:gridCol w:w="850"/>
        <w:gridCol w:w="1560"/>
        <w:gridCol w:w="1417"/>
        <w:gridCol w:w="992"/>
        <w:gridCol w:w="6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国投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风险合规部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（年薪：10-15万元）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2人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男女 不限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金融、法律、会计等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全日制本科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40周岁以下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left"/>
              <w:outlineLvl w:val="0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3</w:t>
            </w: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年以上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金融业相关</w:t>
            </w: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工作经验者；熟悉公司自营投资业务法律、法规及监管要求；具有良好的合规意识，具有较强的沟通协作、分析判断和表达能力，工作主动性、责任心强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，</w:t>
            </w: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取得法律职业证书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，条件优秀者可适当放宽。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国投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投后管理部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（年薪：10-15万元）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1人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男女 不限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经济、金融、财务、法律等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全日制本科及以上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40周岁以下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5年以上基金管理行业工作经验，熟悉国家相关法律法规政策，熟悉各类资本运作模式，熟悉私募股权风险投资基金运作的全过程，熟悉基金的投资、管理、运营与退出全流程，</w:t>
            </w:r>
            <w:r>
              <w:rPr>
                <w:rFonts w:cs="宋体" w:asciiTheme="minorEastAsia" w:hAnsiTheme="minorEastAsia"/>
                <w:color w:val="auto"/>
                <w:kern w:val="0"/>
                <w:sz w:val="22"/>
              </w:rPr>
              <w:t>取得法律职业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证书优先考虑,条件优秀者可适当放宽。</w:t>
            </w:r>
          </w:p>
        </w:tc>
      </w:tr>
    </w:tbl>
    <w:p>
      <w:pPr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WE5MTg4YjlhZGFiNzNlZGJhNWIxMTVhNTc1NzEifQ=="/>
  </w:docVars>
  <w:rsids>
    <w:rsidRoot w:val="7F966146"/>
    <w:rsid w:val="7F96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2022-08-29T09:09:00Z</dcterms:created>
  <dc:creator>ZY</dc:creator>
  <cp:lastModifiedBy>ZY</cp:lastModifiedBy>
  <dcterms:modified xsi:type="dcterms:W3CDTF">2022-08-29T09:09:51Z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771C2B7E276E44DB85DA6D74D9A76C80</vt:lpwstr>
  </property>
</Properties>
</file>