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6F0A1">
      <w:pPr>
        <w:spacing w:line="500" w:lineRule="exact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</w:p>
    <w:p w14:paraId="25CF0784">
      <w:pPr>
        <w:spacing w:line="440" w:lineRule="exact"/>
        <w:jc w:val="center"/>
        <w:rPr>
          <w:rFonts w:hint="eastAsia" w:ascii="方正小标宋简体" w:hAnsi="新宋体" w:eastAsia="方正小标宋简体"/>
          <w:sz w:val="32"/>
          <w:szCs w:val="32"/>
        </w:rPr>
      </w:pPr>
      <w:r>
        <w:rPr>
          <w:rFonts w:hint="eastAsia" w:ascii="方正小标宋简体" w:hAnsi="新宋体" w:eastAsia="方正小标宋简体"/>
          <w:sz w:val="32"/>
          <w:szCs w:val="32"/>
        </w:rPr>
        <w:t>诸暨市普高学校面向2026年应届高校</w:t>
      </w:r>
      <w:r>
        <w:rPr>
          <w:rFonts w:hint="eastAsia" w:ascii="方正小标宋简体" w:hAnsi="新宋体" w:eastAsia="方正小标宋简体" w:cs="Times New Roman"/>
          <w:sz w:val="32"/>
          <w:szCs w:val="32"/>
        </w:rPr>
        <w:t>优秀毕业</w:t>
      </w:r>
      <w:r>
        <w:rPr>
          <w:rFonts w:hint="eastAsia" w:ascii="方正小标宋简体" w:hAnsi="新宋体" w:eastAsia="方正小标宋简体"/>
          <w:sz w:val="32"/>
          <w:szCs w:val="32"/>
        </w:rPr>
        <w:t>生</w:t>
      </w:r>
    </w:p>
    <w:p w14:paraId="2655B29F">
      <w:pPr>
        <w:spacing w:line="440" w:lineRule="exact"/>
        <w:jc w:val="center"/>
        <w:rPr>
          <w:rFonts w:hint="default" w:ascii="方正小标宋简体" w:hAnsi="新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新宋体" w:eastAsia="方正小标宋简体"/>
          <w:sz w:val="32"/>
          <w:szCs w:val="32"/>
          <w:lang w:val="en-US" w:eastAsia="zh-CN"/>
        </w:rPr>
        <w:t>招聘教师有关待遇一览表</w:t>
      </w:r>
    </w:p>
    <w:tbl>
      <w:tblPr>
        <w:tblStyle w:val="4"/>
        <w:tblpPr w:leftFromText="180" w:rightFromText="180" w:vertAnchor="page" w:horzAnchor="page" w:tblpX="1134" w:tblpY="2867"/>
        <w:tblOverlap w:val="never"/>
        <w:tblW w:w="10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885"/>
        <w:gridCol w:w="3447"/>
        <w:gridCol w:w="870"/>
        <w:gridCol w:w="630"/>
        <w:gridCol w:w="660"/>
        <w:gridCol w:w="994"/>
      </w:tblGrid>
      <w:tr w14:paraId="63E0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87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3F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人才类别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1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工资</w:t>
            </w:r>
          </w:p>
          <w:p w14:paraId="3B4F3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待遇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（万元/年）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824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人才奖励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（万元/年）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安居保障安家补贴购房补贴等</w:t>
            </w:r>
          </w:p>
        </w:tc>
      </w:tr>
      <w:tr w14:paraId="3D97F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5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现就读</w:t>
            </w:r>
          </w:p>
          <w:p w14:paraId="1894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院  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B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最后</w:t>
            </w:r>
          </w:p>
          <w:p w14:paraId="5F31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第一学历就读院校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或其他要求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6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5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基础奖励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6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学年考核奖励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</w:tr>
      <w:tr w14:paraId="74EA4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7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清华大学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8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22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18-20</w:t>
            </w:r>
          </w:p>
          <w:p w14:paraId="5861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1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2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根据学校相关制度开展考核，考核优秀奖励5万元/年，合格奖励3万元/年</w:t>
            </w:r>
          </w:p>
          <w:p w14:paraId="07C9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根据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2025年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诸暨市人才政策，给予人才保障房免费居住5年；给予博士研究生购房补贴50万元、安家补贴9万元；给予硕士研究生安家补贴6万元（以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年发布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人才政策为准）</w:t>
            </w:r>
          </w:p>
        </w:tc>
      </w:tr>
      <w:tr w14:paraId="62EE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9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5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AA2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9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2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72BC8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5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E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64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9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3EC57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7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2F2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9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67DF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3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F4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14754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6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C9（除清华大学、北京大学）、中国人民大学、中国科学院大学、北京师范大学、华东师范大学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0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7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432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9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D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C79E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4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1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8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5A6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8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B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1297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D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284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0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0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2EA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9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E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C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210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D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0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E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425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A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1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C55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9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5211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CC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6所部属师范大学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AC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C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本科阶段为部属公费师范生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D1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3482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F19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47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6所部属师范大学及南京师范大学、华南师范大学、湖南师范大学、首都师范大学；浙江师范大学初阳学院、杭州师范大学经亨颐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实验班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4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1F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本科阶段为此类别高校师范类专业（除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浙江师范大学初阳学院、杭州师范大学经亨颐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实验班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且本科阶段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获得过国家奖学金（不含国家励志奖学金）、省政府奖学金、校级优秀学生一等奖学金、省级高等学校师范生教学技能竞赛一等奖或“田家炳杯”全国师范院校师范生教学技能竞赛获奖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685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E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9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3F7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b/>
          <w:bCs/>
          <w:sz w:val="21"/>
          <w:szCs w:val="21"/>
        </w:rPr>
        <w:t>备注：</w:t>
      </w:r>
    </w:p>
    <w:p w14:paraId="5B01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1.本政策适用于本次招聘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到</w:t>
      </w:r>
      <w:r>
        <w:rPr>
          <w:rFonts w:hint="eastAsia" w:ascii="仿宋_GB2312" w:eastAsia="仿宋_GB2312"/>
          <w:sz w:val="21"/>
          <w:szCs w:val="21"/>
        </w:rPr>
        <w:t>诸暨市普高学校任教高考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文化课科目的</w:t>
      </w:r>
      <w:r>
        <w:rPr>
          <w:rFonts w:hint="eastAsia" w:ascii="仿宋_GB2312" w:eastAsia="仿宋_GB2312"/>
          <w:sz w:val="21"/>
          <w:szCs w:val="21"/>
        </w:rPr>
        <w:t>教师；</w:t>
      </w:r>
    </w:p>
    <w:p w14:paraId="58D2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21"/>
          <w:szCs w:val="21"/>
        </w:rPr>
        <w:t>对于特别优秀的人才、紧缺学科或竞赛获奖教师，可实行“一事一议”政策，具体待遇面谈确定；</w:t>
      </w:r>
    </w:p>
    <w:p w14:paraId="1F74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3.夫妻双方均为全日制博士且同时购房的，可享受150万元购房补贴；</w:t>
      </w:r>
    </w:p>
    <w:p w14:paraId="1742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4.若符合多种人才类别的，按照就高不重复原则享受政策；</w:t>
      </w:r>
    </w:p>
    <w:p w14:paraId="33F6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5.除上述人才类别外，根据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2025年</w:t>
      </w:r>
      <w:r>
        <w:rPr>
          <w:rFonts w:hint="eastAsia" w:ascii="仿宋_GB2312" w:eastAsia="仿宋_GB2312"/>
          <w:sz w:val="21"/>
          <w:szCs w:val="21"/>
        </w:rPr>
        <w:t>诸暨市人才政策，对引进的全日制博士给予最高50万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元</w:t>
      </w:r>
      <w:r>
        <w:rPr>
          <w:rFonts w:hint="eastAsia" w:ascii="仿宋_GB2312" w:eastAsia="仿宋_GB2312"/>
          <w:sz w:val="21"/>
          <w:szCs w:val="21"/>
        </w:rPr>
        <w:t>购房补贴和9万元安家补贴；对引进的“双一流”高校硕士给予6万元安家补贴（具体金额以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2026年</w:t>
      </w:r>
      <w:r>
        <w:rPr>
          <w:rFonts w:hint="eastAsia" w:ascii="仿宋_GB2312" w:eastAsia="仿宋_GB2312"/>
          <w:sz w:val="21"/>
          <w:szCs w:val="21"/>
        </w:rPr>
        <w:t>发布</w:t>
      </w:r>
      <w:r>
        <w:rPr>
          <w:rFonts w:hint="eastAsia" w:ascii="仿宋_GB2312" w:eastAsia="仿宋_GB2312"/>
          <w:sz w:val="21"/>
          <w:szCs w:val="21"/>
          <w:lang w:eastAsia="zh-CN"/>
        </w:rPr>
        <w:t>的</w:t>
      </w:r>
      <w:r>
        <w:rPr>
          <w:rFonts w:hint="eastAsia" w:ascii="仿宋_GB2312" w:eastAsia="仿宋_GB2312"/>
          <w:sz w:val="21"/>
          <w:szCs w:val="21"/>
        </w:rPr>
        <w:t>人才政策为准）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 w14:paraId="2163AE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65BCD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